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1084" w14:textId="77777777" w:rsidR="00BE68BA" w:rsidRDefault="00A45CE5" w:rsidP="00A45CE5">
      <w:pPr>
        <w:pStyle w:val="NoSpacing"/>
        <w:jc w:val="center"/>
        <w:rPr>
          <w:b/>
          <w:bCs/>
        </w:rPr>
      </w:pPr>
      <w:r w:rsidRPr="00A45CE5">
        <w:rPr>
          <w:b/>
          <w:bCs/>
        </w:rPr>
        <w:t>Background Paper on</w:t>
      </w:r>
    </w:p>
    <w:p w14:paraId="45893176" w14:textId="5CC59BCC" w:rsidR="004C1101" w:rsidRDefault="004C1101" w:rsidP="005C23D6">
      <w:pPr>
        <w:pStyle w:val="NoSpacing"/>
        <w:jc w:val="center"/>
        <w:rPr>
          <w:b/>
          <w:bCs/>
        </w:rPr>
      </w:pPr>
      <w:r>
        <w:rPr>
          <w:b/>
          <w:bCs/>
        </w:rPr>
        <w:t>DFARS 270.1</w:t>
      </w:r>
    </w:p>
    <w:p w14:paraId="427D8EC2" w14:textId="77C7D083" w:rsidR="004C1101" w:rsidRPr="004C1101" w:rsidRDefault="004C1101" w:rsidP="005C23D6">
      <w:pPr>
        <w:pStyle w:val="NoSpacing"/>
        <w:jc w:val="center"/>
        <w:rPr>
          <w:b/>
          <w:bCs/>
        </w:rPr>
      </w:pPr>
      <w:r w:rsidRPr="004C1101">
        <w:rPr>
          <w:b/>
          <w:bCs/>
        </w:rPr>
        <w:t>DoD Pilot Program to Incentivize Contracting</w:t>
      </w:r>
    </w:p>
    <w:p w14:paraId="65DA7E31" w14:textId="77777777" w:rsidR="004C1101" w:rsidRPr="004C1101" w:rsidRDefault="004C1101" w:rsidP="005C23D6">
      <w:pPr>
        <w:pStyle w:val="NoSpacing"/>
        <w:jc w:val="center"/>
        <w:rPr>
          <w:b/>
          <w:bCs/>
        </w:rPr>
      </w:pPr>
      <w:r w:rsidRPr="004C1101">
        <w:rPr>
          <w:b/>
          <w:bCs/>
        </w:rPr>
        <w:t>with Employee-Owned Businesses</w:t>
      </w:r>
    </w:p>
    <w:p w14:paraId="1E89FEC3" w14:textId="77777777" w:rsidR="00A45CE5" w:rsidRDefault="00A45CE5"/>
    <w:p w14:paraId="2EFF3730" w14:textId="3DBEB5FC" w:rsidR="00A45CE5" w:rsidRDefault="00A45CE5" w:rsidP="008A30A2">
      <w:r w:rsidRPr="00A45CE5">
        <w:rPr>
          <w:b/>
          <w:bCs/>
        </w:rPr>
        <w:t>Summary:</w:t>
      </w:r>
      <w:r>
        <w:t xml:space="preserve">  Congress and the Department of Defense (DoD) are concerned about the shrinking defense industrial base.  Employee-owned companies have shown resistance to acquisitions by larger companies.  Congress authorized the DoD to conduct a pilot program that allows a contracting officer to award a sole-source follow-on contract to 100% S-Corp Employee Stock Ownership Plan (ESOP) companies.  This law is codified in the Defense Federal Acquisition Regulation</w:t>
      </w:r>
      <w:r w:rsidR="00495D17">
        <w:t>s (DFARS</w:t>
      </w:r>
      <w:r w:rsidR="006E68DB">
        <w:t>)</w:t>
      </w:r>
      <w:r w:rsidR="00495D17">
        <w:t xml:space="preserve"> 270.1</w:t>
      </w:r>
      <w:r>
        <w:t xml:space="preserve"> </w:t>
      </w:r>
      <w:r w:rsidR="008A30A2">
        <w:t xml:space="preserve">and </w:t>
      </w:r>
      <w:r w:rsidR="00495D17">
        <w:t>is</w:t>
      </w:r>
      <w:r w:rsidR="00B40BC1">
        <w:t xml:space="preserve"> effective 25 Nov 2024.</w:t>
      </w:r>
    </w:p>
    <w:p w14:paraId="0FF4F6B2" w14:textId="77777777" w:rsidR="00A45CE5" w:rsidRDefault="00A45CE5">
      <w:r w:rsidRPr="00A45CE5">
        <w:rPr>
          <w:b/>
          <w:bCs/>
        </w:rPr>
        <w:t>Background:</w:t>
      </w:r>
      <w:r>
        <w:rPr>
          <w:b/>
          <w:bCs/>
        </w:rPr>
        <w:br/>
      </w:r>
      <w:r w:rsidRPr="00B22253">
        <w:rPr>
          <w:b/>
          <w:bCs/>
        </w:rPr>
        <w:t>1.</w:t>
      </w:r>
      <w:r w:rsidRPr="00A45CE5">
        <w:t xml:space="preserve"> </w:t>
      </w:r>
      <w:r w:rsidR="00636642">
        <w:t xml:space="preserve"> </w:t>
      </w:r>
      <w:r w:rsidRPr="00A45CE5">
        <w:t>Sec 874 of the FY22 National Defense Authorization Act (NDAA)</w:t>
      </w:r>
      <w:r>
        <w:t xml:space="preserve"> authorized the DoD to conduct a 5-year pilot program, allowing contracting officers to award a sole-source follow-on contract to S-Corp companies that are 100% ESOPs and are performing well.  The Office of the Secretary of Defense Pricing and Contracting </w:t>
      </w:r>
      <w:r w:rsidR="00B22253">
        <w:t xml:space="preserve">(OSD/DPC) </w:t>
      </w:r>
      <w:r w:rsidR="00636642">
        <w:t xml:space="preserve">team </w:t>
      </w:r>
      <w:r>
        <w:t xml:space="preserve">quickly implemented this language </w:t>
      </w:r>
      <w:r w:rsidR="00636642">
        <w:t>using</w:t>
      </w:r>
      <w:r>
        <w:t xml:space="preserve"> a DFAR Class Deviation on 8 November 2022 and limited the authority to nine uses.  All nine authorities were used, showing the viability of the pilot program.</w:t>
      </w:r>
    </w:p>
    <w:p w14:paraId="43A8BE5D" w14:textId="235E22FC" w:rsidR="00A45CE5" w:rsidRDefault="00A45CE5">
      <w:r w:rsidRPr="00B22253">
        <w:rPr>
          <w:b/>
          <w:bCs/>
        </w:rPr>
        <w:t>2.</w:t>
      </w:r>
      <w:r>
        <w:t xml:space="preserve"> </w:t>
      </w:r>
      <w:r w:rsidR="00636642">
        <w:t xml:space="preserve"> </w:t>
      </w:r>
      <w:r>
        <w:t>Sec 872 of the FY24 NDAA</w:t>
      </w:r>
      <w:r w:rsidR="00B22253">
        <w:t>, passed in December 2023,</w:t>
      </w:r>
      <w:r>
        <w:t xml:space="preserve"> refined the original </w:t>
      </w:r>
      <w:r w:rsidR="00AA2704">
        <w:t>language,</w:t>
      </w:r>
      <w:r>
        <w:t xml:space="preserve"> </w:t>
      </w:r>
      <w:r w:rsidR="00B22253">
        <w:t>and provided five improvements:</w:t>
      </w:r>
    </w:p>
    <w:p w14:paraId="3B9BDC5D" w14:textId="77777777" w:rsidR="00B22253" w:rsidRDefault="00B22253" w:rsidP="00636642">
      <w:pPr>
        <w:pStyle w:val="NoSpacing"/>
      </w:pPr>
      <w:r>
        <w:tab/>
      </w:r>
      <w:r w:rsidRPr="00B22253">
        <w:rPr>
          <w:b/>
          <w:bCs/>
        </w:rPr>
        <w:t>a.</w:t>
      </w:r>
      <w:r>
        <w:t xml:space="preserve"> </w:t>
      </w:r>
      <w:r w:rsidR="00636642">
        <w:t xml:space="preserve"> </w:t>
      </w:r>
      <w:r>
        <w:t>Clarifies Sec 874 can be used once per contract</w:t>
      </w:r>
    </w:p>
    <w:p w14:paraId="6561A8CF" w14:textId="77777777" w:rsidR="00B22253" w:rsidRDefault="00B22253" w:rsidP="00636642">
      <w:pPr>
        <w:pStyle w:val="NoSpacing"/>
      </w:pPr>
      <w:r>
        <w:tab/>
      </w:r>
      <w:r w:rsidRPr="00B22253">
        <w:rPr>
          <w:b/>
          <w:bCs/>
        </w:rPr>
        <w:t>b.</w:t>
      </w:r>
      <w:r>
        <w:t xml:space="preserve"> </w:t>
      </w:r>
      <w:r w:rsidR="00636642">
        <w:t xml:space="preserve"> </w:t>
      </w:r>
      <w:r>
        <w:t>Allows Sec 874 to be used by GSA for DoD contracts</w:t>
      </w:r>
    </w:p>
    <w:p w14:paraId="6E9602E9" w14:textId="77777777" w:rsidR="00B22253" w:rsidRDefault="00B22253" w:rsidP="00636642">
      <w:pPr>
        <w:pStyle w:val="NoSpacing"/>
      </w:pPr>
      <w:r>
        <w:tab/>
      </w:r>
      <w:r w:rsidRPr="00B22253">
        <w:rPr>
          <w:b/>
          <w:bCs/>
        </w:rPr>
        <w:t>c.</w:t>
      </w:r>
      <w:r>
        <w:t xml:space="preserve"> </w:t>
      </w:r>
      <w:r w:rsidR="00636642">
        <w:t xml:space="preserve"> </w:t>
      </w:r>
      <w:r>
        <w:t>Extends the pilot program to eight years (now 7 Dec 2029)</w:t>
      </w:r>
    </w:p>
    <w:p w14:paraId="0BFA8C33" w14:textId="77777777" w:rsidR="00B22253" w:rsidRDefault="00B22253" w:rsidP="00636642">
      <w:pPr>
        <w:pStyle w:val="NoSpacing"/>
      </w:pPr>
      <w:r>
        <w:tab/>
      </w:r>
      <w:r w:rsidRPr="00B22253">
        <w:rPr>
          <w:b/>
          <w:bCs/>
        </w:rPr>
        <w:t>d.</w:t>
      </w:r>
      <w:r>
        <w:t xml:space="preserve"> </w:t>
      </w:r>
      <w:r w:rsidR="00636642">
        <w:t xml:space="preserve"> </w:t>
      </w:r>
      <w:r>
        <w:t>Clarifies subcontracting limitations</w:t>
      </w:r>
    </w:p>
    <w:p w14:paraId="25E13534" w14:textId="77777777" w:rsidR="00B22253" w:rsidRDefault="00B22253" w:rsidP="00636642">
      <w:pPr>
        <w:pStyle w:val="NoSpacing"/>
      </w:pPr>
      <w:r>
        <w:tab/>
      </w:r>
      <w:r w:rsidRPr="00B22253">
        <w:rPr>
          <w:b/>
          <w:bCs/>
        </w:rPr>
        <w:t>e.</w:t>
      </w:r>
      <w:r>
        <w:t xml:space="preserve"> </w:t>
      </w:r>
      <w:r w:rsidR="00636642">
        <w:t xml:space="preserve"> </w:t>
      </w:r>
      <w:r>
        <w:t>Encourages the DoD to prescribe rule making</w:t>
      </w:r>
    </w:p>
    <w:p w14:paraId="4BC2D9F7" w14:textId="77777777" w:rsidR="00636642" w:rsidRDefault="00636642" w:rsidP="00636642">
      <w:pPr>
        <w:pStyle w:val="NoSpacing"/>
      </w:pPr>
    </w:p>
    <w:p w14:paraId="0D30BCEA" w14:textId="551D3480" w:rsidR="00B22253" w:rsidRDefault="00B22253" w:rsidP="008A30A2">
      <w:r w:rsidRPr="00B22253">
        <w:rPr>
          <w:b/>
          <w:bCs/>
        </w:rPr>
        <w:t>3.</w:t>
      </w:r>
      <w:r>
        <w:t xml:space="preserve"> </w:t>
      </w:r>
      <w:r w:rsidR="00636642">
        <w:t xml:space="preserve"> </w:t>
      </w:r>
      <w:r>
        <w:t xml:space="preserve">OSD/DPC </w:t>
      </w:r>
      <w:r w:rsidR="008A30A2">
        <w:t xml:space="preserve">issued the final rule on 10 Oct 2024. The final rule can be found </w:t>
      </w:r>
      <w:hyperlink r:id="rId8" w:history="1">
        <w:r w:rsidR="008A30A2">
          <w:rPr>
            <w:rStyle w:val="Hyperlink"/>
          </w:rPr>
          <w:t>here</w:t>
        </w:r>
      </w:hyperlink>
      <w:r w:rsidR="008A30A2">
        <w:t>. The rule</w:t>
      </w:r>
      <w:r w:rsidR="00C31732">
        <w:t xml:space="preserve">, now DFARS </w:t>
      </w:r>
      <w:r w:rsidR="00D832CD">
        <w:t>2</w:t>
      </w:r>
      <w:r w:rsidR="00C31732">
        <w:t xml:space="preserve">70.1, became </w:t>
      </w:r>
      <w:r w:rsidR="008A30A2">
        <w:t xml:space="preserve">effective </w:t>
      </w:r>
      <w:r w:rsidR="00B40BC1">
        <w:t>25 Nov</w:t>
      </w:r>
      <w:r w:rsidR="008A30A2">
        <w:t xml:space="preserve"> 2024.</w:t>
      </w:r>
    </w:p>
    <w:p w14:paraId="21CC0ADE" w14:textId="77777777" w:rsidR="00516072" w:rsidRDefault="00516072" w:rsidP="00B22253">
      <w:r w:rsidRPr="005F3EE5">
        <w:rPr>
          <w:b/>
          <w:bCs/>
        </w:rPr>
        <w:t>4.</w:t>
      </w:r>
      <w:r>
        <w:t xml:space="preserve"> </w:t>
      </w:r>
      <w:r w:rsidR="00636642">
        <w:t xml:space="preserve"> </w:t>
      </w:r>
      <w:r>
        <w:t xml:space="preserve">This authority may be used on any type of contract for a follow-on award </w:t>
      </w:r>
      <w:r w:rsidR="00636642">
        <w:t>if</w:t>
      </w:r>
      <w:r>
        <w:t xml:space="preserve"> the “contract is for the continued development, production, or provision of products or services that are the same or substantially similar to those procured under the prior contract awarded to the contractor by or for DoD.”</w:t>
      </w:r>
    </w:p>
    <w:p w14:paraId="39AC85EF" w14:textId="278D3CA6" w:rsidR="00B03003" w:rsidRDefault="00516072" w:rsidP="005C3578">
      <w:r w:rsidRPr="005F3EE5">
        <w:rPr>
          <w:b/>
          <w:bCs/>
        </w:rPr>
        <w:t>5.</w:t>
      </w:r>
      <w:r>
        <w:t xml:space="preserve"> </w:t>
      </w:r>
      <w:r w:rsidR="00636642">
        <w:t xml:space="preserve"> The point of contact at OSD/DPC is </w:t>
      </w:r>
      <w:r w:rsidR="00B03003" w:rsidRPr="00B03003">
        <w:t xml:space="preserve">Ms. Adeline </w:t>
      </w:r>
      <w:proofErr w:type="spellStart"/>
      <w:r w:rsidR="00B03003" w:rsidRPr="00B03003">
        <w:t>Maissonet</w:t>
      </w:r>
      <w:proofErr w:type="spellEnd"/>
      <w:r w:rsidR="00B03003" w:rsidRPr="00B03003">
        <w:t xml:space="preserve">, who can be reached at </w:t>
      </w:r>
      <w:hyperlink r:id="rId9" w:history="1">
        <w:r w:rsidR="00B03003" w:rsidRPr="00B03003">
          <w:rPr>
            <w:rStyle w:val="Hyperlink"/>
          </w:rPr>
          <w:t>osd.pentagon.ousd-a-smbx.dpc-cp@mail.mil</w:t>
        </w:r>
      </w:hyperlink>
      <w:r w:rsidR="005C3578">
        <w:t>.</w:t>
      </w:r>
    </w:p>
    <w:p w14:paraId="56E07853" w14:textId="24E8CFB7" w:rsidR="00B03003" w:rsidRPr="00B03003" w:rsidRDefault="003C02DD" w:rsidP="004570DE">
      <w:r>
        <w:t>6. Refer to the OSD/DPC 5 Dec 24 memo for the sample form and directions to apply</w:t>
      </w:r>
      <w:r w:rsidR="00DA5745">
        <w:t xml:space="preserve"> for use of this authority</w:t>
      </w:r>
      <w:r w:rsidR="004570DE">
        <w:t xml:space="preserve"> (</w:t>
      </w:r>
      <w:hyperlink r:id="rId10" w:history="1">
        <w:r w:rsidR="004570DE" w:rsidRPr="004570DE">
          <w:rPr>
            <w:rStyle w:val="Hyperlink"/>
          </w:rPr>
          <w:t>https://www.acq.osd.mil/dpap/policy/policyvault/USA002576-24-DPCAP.pdf</w:t>
        </w:r>
      </w:hyperlink>
      <w:r w:rsidR="004570DE">
        <w:t>).</w:t>
      </w:r>
    </w:p>
    <w:p w14:paraId="711C046E" w14:textId="085A2328" w:rsidR="00636642" w:rsidRDefault="00DA5745" w:rsidP="00B22253">
      <w:r>
        <w:t>7</w:t>
      </w:r>
      <w:r w:rsidR="0072024B">
        <w:t xml:space="preserve">. </w:t>
      </w:r>
      <w:r w:rsidR="00636642">
        <w:t xml:space="preserve">MTSI qualifies as a 100% </w:t>
      </w:r>
      <w:r w:rsidR="00AA2704">
        <w:t xml:space="preserve">employee-owned </w:t>
      </w:r>
      <w:r w:rsidR="00636642">
        <w:t>S-Corp ESOP (since 201</w:t>
      </w:r>
      <w:r w:rsidR="00AF2F07">
        <w:t>7</w:t>
      </w:r>
      <w:r w:rsidR="00636642">
        <w:t>).</w:t>
      </w:r>
    </w:p>
    <w:p w14:paraId="5AE2EED0" w14:textId="77777777" w:rsidR="00B22253" w:rsidRDefault="00B22253" w:rsidP="00B22253"/>
    <w:p w14:paraId="2ADB4738" w14:textId="77777777" w:rsidR="00BB6D06" w:rsidRDefault="00BB6D06" w:rsidP="00B22253"/>
    <w:p w14:paraId="16623DA0" w14:textId="77777777" w:rsidR="00BB6D06" w:rsidRDefault="00BB6D06" w:rsidP="00B22253"/>
    <w:p w14:paraId="0A7A13A4" w14:textId="77777777" w:rsidR="00BB6D06" w:rsidRDefault="00BB6D06" w:rsidP="00B22253"/>
    <w:p w14:paraId="24D4AFDE" w14:textId="77777777" w:rsidR="00BB6D06" w:rsidRDefault="00BB6D06" w:rsidP="00B22253"/>
    <w:sectPr w:rsidR="00BB6D06" w:rsidSect="009F0AAE">
      <w:headerReference w:type="default" r:id="rId11"/>
      <w:footerReference w:type="default" r:id="rId12"/>
      <w:footerReference w:type="first" r:id="rId13"/>
      <w:pgSz w:w="12240" w:h="15840"/>
      <w:pgMar w:top="1440" w:right="1260" w:bottom="144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226CF" w14:textId="77777777" w:rsidR="00516072" w:rsidRDefault="00516072" w:rsidP="00516072">
      <w:pPr>
        <w:spacing w:after="0" w:line="240" w:lineRule="auto"/>
      </w:pPr>
      <w:r>
        <w:separator/>
      </w:r>
    </w:p>
  </w:endnote>
  <w:endnote w:type="continuationSeparator" w:id="0">
    <w:p w14:paraId="5CF1BEAA" w14:textId="77777777" w:rsidR="00516072" w:rsidRDefault="00516072" w:rsidP="00516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8564" w14:textId="7CF15779" w:rsidR="00516072" w:rsidRDefault="009F0AA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C034" w14:textId="0C8A00EF" w:rsidR="00EC78C1" w:rsidRPr="009F0AAE" w:rsidRDefault="009F0AAE" w:rsidP="005C3578">
    <w:pPr>
      <w:pStyle w:val="Footer"/>
    </w:pPr>
    <w:r>
      <w:t xml:space="preserve">Mike Williams / MTSI / </w:t>
    </w:r>
    <w:hyperlink r:id="rId1" w:history="1">
      <w:r w:rsidRPr="00C20DE0">
        <w:rPr>
          <w:rStyle w:val="Hyperlink"/>
        </w:rPr>
        <w:t>mike.williams@mtsi-va.com</w:t>
      </w:r>
    </w:hyperlink>
    <w:r>
      <w:t xml:space="preserve"> / 571-265-4616 </w:t>
    </w:r>
    <w:r>
      <w:tab/>
    </w:r>
    <w:r w:rsidR="005C3578">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08F55" w14:textId="77777777" w:rsidR="00516072" w:rsidRDefault="00516072" w:rsidP="00516072">
      <w:pPr>
        <w:spacing w:after="0" w:line="240" w:lineRule="auto"/>
      </w:pPr>
      <w:r>
        <w:separator/>
      </w:r>
    </w:p>
  </w:footnote>
  <w:footnote w:type="continuationSeparator" w:id="0">
    <w:p w14:paraId="05C382AA" w14:textId="77777777" w:rsidR="00516072" w:rsidRDefault="00516072" w:rsidP="00516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BB38" w14:textId="3E53B74F" w:rsidR="00516072" w:rsidRDefault="00516072">
    <w:pPr>
      <w:pStyle w:val="Header"/>
    </w:pPr>
  </w:p>
  <w:p w14:paraId="0D4044CA" w14:textId="77777777" w:rsidR="00516072" w:rsidRDefault="00516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B43CF"/>
    <w:multiLevelType w:val="hybridMultilevel"/>
    <w:tmpl w:val="1D14D8C6"/>
    <w:lvl w:ilvl="0" w:tplc="CDD86548">
      <w:start w:val="1"/>
      <w:numFmt w:val="bullet"/>
      <w:lvlText w:val="•"/>
      <w:lvlJc w:val="left"/>
      <w:pPr>
        <w:tabs>
          <w:tab w:val="num" w:pos="720"/>
        </w:tabs>
        <w:ind w:left="720" w:hanging="360"/>
      </w:pPr>
      <w:rPr>
        <w:rFonts w:ascii="Arial" w:hAnsi="Arial" w:hint="default"/>
      </w:rPr>
    </w:lvl>
    <w:lvl w:ilvl="1" w:tplc="067881F4">
      <w:start w:val="1"/>
      <w:numFmt w:val="bullet"/>
      <w:lvlText w:val="•"/>
      <w:lvlJc w:val="left"/>
      <w:pPr>
        <w:tabs>
          <w:tab w:val="num" w:pos="1440"/>
        </w:tabs>
        <w:ind w:left="1440" w:hanging="360"/>
      </w:pPr>
      <w:rPr>
        <w:rFonts w:ascii="Arial" w:hAnsi="Arial" w:hint="default"/>
      </w:rPr>
    </w:lvl>
    <w:lvl w:ilvl="2" w:tplc="CCE05290" w:tentative="1">
      <w:start w:val="1"/>
      <w:numFmt w:val="bullet"/>
      <w:lvlText w:val="•"/>
      <w:lvlJc w:val="left"/>
      <w:pPr>
        <w:tabs>
          <w:tab w:val="num" w:pos="2160"/>
        </w:tabs>
        <w:ind w:left="2160" w:hanging="360"/>
      </w:pPr>
      <w:rPr>
        <w:rFonts w:ascii="Arial" w:hAnsi="Arial" w:hint="default"/>
      </w:rPr>
    </w:lvl>
    <w:lvl w:ilvl="3" w:tplc="CB24ACFA" w:tentative="1">
      <w:start w:val="1"/>
      <w:numFmt w:val="bullet"/>
      <w:lvlText w:val="•"/>
      <w:lvlJc w:val="left"/>
      <w:pPr>
        <w:tabs>
          <w:tab w:val="num" w:pos="2880"/>
        </w:tabs>
        <w:ind w:left="2880" w:hanging="360"/>
      </w:pPr>
      <w:rPr>
        <w:rFonts w:ascii="Arial" w:hAnsi="Arial" w:hint="default"/>
      </w:rPr>
    </w:lvl>
    <w:lvl w:ilvl="4" w:tplc="6E321062" w:tentative="1">
      <w:start w:val="1"/>
      <w:numFmt w:val="bullet"/>
      <w:lvlText w:val="•"/>
      <w:lvlJc w:val="left"/>
      <w:pPr>
        <w:tabs>
          <w:tab w:val="num" w:pos="3600"/>
        </w:tabs>
        <w:ind w:left="3600" w:hanging="360"/>
      </w:pPr>
      <w:rPr>
        <w:rFonts w:ascii="Arial" w:hAnsi="Arial" w:hint="default"/>
      </w:rPr>
    </w:lvl>
    <w:lvl w:ilvl="5" w:tplc="D58C07DA" w:tentative="1">
      <w:start w:val="1"/>
      <w:numFmt w:val="bullet"/>
      <w:lvlText w:val="•"/>
      <w:lvlJc w:val="left"/>
      <w:pPr>
        <w:tabs>
          <w:tab w:val="num" w:pos="4320"/>
        </w:tabs>
        <w:ind w:left="4320" w:hanging="360"/>
      </w:pPr>
      <w:rPr>
        <w:rFonts w:ascii="Arial" w:hAnsi="Arial" w:hint="default"/>
      </w:rPr>
    </w:lvl>
    <w:lvl w:ilvl="6" w:tplc="706EB866" w:tentative="1">
      <w:start w:val="1"/>
      <w:numFmt w:val="bullet"/>
      <w:lvlText w:val="•"/>
      <w:lvlJc w:val="left"/>
      <w:pPr>
        <w:tabs>
          <w:tab w:val="num" w:pos="5040"/>
        </w:tabs>
        <w:ind w:left="5040" w:hanging="360"/>
      </w:pPr>
      <w:rPr>
        <w:rFonts w:ascii="Arial" w:hAnsi="Arial" w:hint="default"/>
      </w:rPr>
    </w:lvl>
    <w:lvl w:ilvl="7" w:tplc="D35C1742" w:tentative="1">
      <w:start w:val="1"/>
      <w:numFmt w:val="bullet"/>
      <w:lvlText w:val="•"/>
      <w:lvlJc w:val="left"/>
      <w:pPr>
        <w:tabs>
          <w:tab w:val="num" w:pos="5760"/>
        </w:tabs>
        <w:ind w:left="5760" w:hanging="360"/>
      </w:pPr>
      <w:rPr>
        <w:rFonts w:ascii="Arial" w:hAnsi="Arial" w:hint="default"/>
      </w:rPr>
    </w:lvl>
    <w:lvl w:ilvl="8" w:tplc="BE3465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5B06A25"/>
    <w:multiLevelType w:val="hybridMultilevel"/>
    <w:tmpl w:val="04F227CA"/>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upperLetter"/>
      <w:lvlText w:val="%3."/>
      <w:lvlJc w:val="left"/>
      <w:pPr>
        <w:ind w:left="2340" w:hanging="360"/>
      </w:pPr>
    </w:lvl>
    <w:lvl w:ilvl="3" w:tplc="0409000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DF75B5B"/>
    <w:multiLevelType w:val="hybridMultilevel"/>
    <w:tmpl w:val="E6D656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49D78B1"/>
    <w:multiLevelType w:val="hybridMultilevel"/>
    <w:tmpl w:val="EE1EB0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5462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15864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67941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7461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01"/>
    <w:rsid w:val="00047AFA"/>
    <w:rsid w:val="0009499D"/>
    <w:rsid w:val="000C5738"/>
    <w:rsid w:val="00260879"/>
    <w:rsid w:val="003068C1"/>
    <w:rsid w:val="00336303"/>
    <w:rsid w:val="003A66BC"/>
    <w:rsid w:val="003C02DD"/>
    <w:rsid w:val="00443BC0"/>
    <w:rsid w:val="00447784"/>
    <w:rsid w:val="004570DE"/>
    <w:rsid w:val="00495D17"/>
    <w:rsid w:val="004B4FB6"/>
    <w:rsid w:val="004C1101"/>
    <w:rsid w:val="00516072"/>
    <w:rsid w:val="00571D22"/>
    <w:rsid w:val="005C23D6"/>
    <w:rsid w:val="005C3578"/>
    <w:rsid w:val="005F3EE5"/>
    <w:rsid w:val="00636642"/>
    <w:rsid w:val="006922D5"/>
    <w:rsid w:val="006D6654"/>
    <w:rsid w:val="006E68DB"/>
    <w:rsid w:val="006F6561"/>
    <w:rsid w:val="0072024B"/>
    <w:rsid w:val="007D67D0"/>
    <w:rsid w:val="008A30A2"/>
    <w:rsid w:val="008B4301"/>
    <w:rsid w:val="00935A6B"/>
    <w:rsid w:val="00944471"/>
    <w:rsid w:val="00980336"/>
    <w:rsid w:val="009D5C52"/>
    <w:rsid w:val="009F0AAE"/>
    <w:rsid w:val="00A45CE5"/>
    <w:rsid w:val="00A65B75"/>
    <w:rsid w:val="00AA2704"/>
    <w:rsid w:val="00AF2F07"/>
    <w:rsid w:val="00B03003"/>
    <w:rsid w:val="00B125A1"/>
    <w:rsid w:val="00B150A9"/>
    <w:rsid w:val="00B22253"/>
    <w:rsid w:val="00B40BC1"/>
    <w:rsid w:val="00B7377C"/>
    <w:rsid w:val="00BB6D06"/>
    <w:rsid w:val="00BE68BA"/>
    <w:rsid w:val="00C31732"/>
    <w:rsid w:val="00C537DF"/>
    <w:rsid w:val="00C97B37"/>
    <w:rsid w:val="00D832CD"/>
    <w:rsid w:val="00D86E89"/>
    <w:rsid w:val="00DA5745"/>
    <w:rsid w:val="00DB2E6C"/>
    <w:rsid w:val="00E5555D"/>
    <w:rsid w:val="00E55ADD"/>
    <w:rsid w:val="00EC78C1"/>
    <w:rsid w:val="00F80F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3B7A51"/>
  <w15:chartTrackingRefBased/>
  <w15:docId w15:val="{23B7CB0C-3449-4A40-B6EB-D4162ECB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5CE5"/>
    <w:pPr>
      <w:spacing w:after="0" w:line="240" w:lineRule="auto"/>
    </w:pPr>
  </w:style>
  <w:style w:type="character" w:styleId="Hyperlink">
    <w:name w:val="Hyperlink"/>
    <w:basedOn w:val="DefaultParagraphFont"/>
    <w:uiPriority w:val="99"/>
    <w:unhideWhenUsed/>
    <w:rsid w:val="00B22253"/>
    <w:rPr>
      <w:color w:val="0563C1" w:themeColor="hyperlink"/>
      <w:u w:val="single"/>
    </w:rPr>
  </w:style>
  <w:style w:type="character" w:styleId="UnresolvedMention">
    <w:name w:val="Unresolved Mention"/>
    <w:basedOn w:val="DefaultParagraphFont"/>
    <w:uiPriority w:val="99"/>
    <w:semiHidden/>
    <w:unhideWhenUsed/>
    <w:rsid w:val="00B22253"/>
    <w:rPr>
      <w:color w:val="605E5C"/>
      <w:shd w:val="clear" w:color="auto" w:fill="E1DFDD"/>
    </w:rPr>
  </w:style>
  <w:style w:type="paragraph" w:styleId="Header">
    <w:name w:val="header"/>
    <w:basedOn w:val="Normal"/>
    <w:link w:val="HeaderChar"/>
    <w:uiPriority w:val="99"/>
    <w:unhideWhenUsed/>
    <w:rsid w:val="005160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072"/>
  </w:style>
  <w:style w:type="paragraph" w:styleId="Footer">
    <w:name w:val="footer"/>
    <w:basedOn w:val="Normal"/>
    <w:link w:val="FooterChar"/>
    <w:uiPriority w:val="99"/>
    <w:unhideWhenUsed/>
    <w:rsid w:val="005160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072"/>
  </w:style>
  <w:style w:type="character" w:styleId="FollowedHyperlink">
    <w:name w:val="FollowedHyperlink"/>
    <w:basedOn w:val="DefaultParagraphFont"/>
    <w:uiPriority w:val="99"/>
    <w:semiHidden/>
    <w:unhideWhenUsed/>
    <w:rsid w:val="009D5C52"/>
    <w:rPr>
      <w:color w:val="954F72" w:themeColor="followedHyperlink"/>
      <w:u w:val="single"/>
    </w:rPr>
  </w:style>
  <w:style w:type="paragraph" w:styleId="ListParagraph">
    <w:name w:val="List Paragraph"/>
    <w:basedOn w:val="Normal"/>
    <w:uiPriority w:val="34"/>
    <w:qFormat/>
    <w:rsid w:val="00571D22"/>
    <w:pPr>
      <w:spacing w:line="25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74319">
      <w:bodyDiv w:val="1"/>
      <w:marLeft w:val="0"/>
      <w:marRight w:val="0"/>
      <w:marTop w:val="0"/>
      <w:marBottom w:val="0"/>
      <w:divBdr>
        <w:top w:val="none" w:sz="0" w:space="0" w:color="auto"/>
        <w:left w:val="none" w:sz="0" w:space="0" w:color="auto"/>
        <w:bottom w:val="none" w:sz="0" w:space="0" w:color="auto"/>
        <w:right w:val="none" w:sz="0" w:space="0" w:color="auto"/>
      </w:divBdr>
    </w:div>
    <w:div w:id="1398472902">
      <w:bodyDiv w:val="1"/>
      <w:marLeft w:val="0"/>
      <w:marRight w:val="0"/>
      <w:marTop w:val="0"/>
      <w:marBottom w:val="0"/>
      <w:divBdr>
        <w:top w:val="none" w:sz="0" w:space="0" w:color="auto"/>
        <w:left w:val="none" w:sz="0" w:space="0" w:color="auto"/>
        <w:bottom w:val="none" w:sz="0" w:space="0" w:color="auto"/>
        <w:right w:val="none" w:sz="0" w:space="0" w:color="auto"/>
      </w:divBdr>
      <w:divsChild>
        <w:div w:id="873737421">
          <w:marLeft w:val="1080"/>
          <w:marRight w:val="0"/>
          <w:marTop w:val="100"/>
          <w:marBottom w:val="0"/>
          <w:divBdr>
            <w:top w:val="none" w:sz="0" w:space="0" w:color="auto"/>
            <w:left w:val="none" w:sz="0" w:space="0" w:color="auto"/>
            <w:bottom w:val="none" w:sz="0" w:space="0" w:color="auto"/>
            <w:right w:val="none" w:sz="0" w:space="0" w:color="auto"/>
          </w:divBdr>
        </w:div>
      </w:divsChild>
    </w:div>
    <w:div w:id="1792823243">
      <w:bodyDiv w:val="1"/>
      <w:marLeft w:val="0"/>
      <w:marRight w:val="0"/>
      <w:marTop w:val="0"/>
      <w:marBottom w:val="0"/>
      <w:divBdr>
        <w:top w:val="none" w:sz="0" w:space="0" w:color="auto"/>
        <w:left w:val="none" w:sz="0" w:space="0" w:color="auto"/>
        <w:bottom w:val="none" w:sz="0" w:space="0" w:color="auto"/>
        <w:right w:val="none" w:sz="0" w:space="0" w:color="auto"/>
      </w:divBdr>
      <w:divsChild>
        <w:div w:id="344525911">
          <w:marLeft w:val="1080"/>
          <w:marRight w:val="0"/>
          <w:marTop w:val="100"/>
          <w:marBottom w:val="0"/>
          <w:divBdr>
            <w:top w:val="none" w:sz="0" w:space="0" w:color="auto"/>
            <w:left w:val="none" w:sz="0" w:space="0" w:color="auto"/>
            <w:bottom w:val="none" w:sz="0" w:space="0" w:color="auto"/>
            <w:right w:val="none" w:sz="0" w:space="0" w:color="auto"/>
          </w:divBdr>
        </w:div>
      </w:divsChild>
    </w:div>
    <w:div w:id="1855726124">
      <w:bodyDiv w:val="1"/>
      <w:marLeft w:val="0"/>
      <w:marRight w:val="0"/>
      <w:marTop w:val="0"/>
      <w:marBottom w:val="0"/>
      <w:divBdr>
        <w:top w:val="none" w:sz="0" w:space="0" w:color="auto"/>
        <w:left w:val="none" w:sz="0" w:space="0" w:color="auto"/>
        <w:bottom w:val="none" w:sz="0" w:space="0" w:color="auto"/>
        <w:right w:val="none" w:sz="0" w:space="0" w:color="auto"/>
      </w:divBdr>
      <w:divsChild>
        <w:div w:id="353533700">
          <w:marLeft w:val="1080"/>
          <w:marRight w:val="0"/>
          <w:marTop w:val="100"/>
          <w:marBottom w:val="0"/>
          <w:divBdr>
            <w:top w:val="none" w:sz="0" w:space="0" w:color="auto"/>
            <w:left w:val="none" w:sz="0" w:space="0" w:color="auto"/>
            <w:bottom w:val="none" w:sz="0" w:space="0" w:color="auto"/>
            <w:right w:val="none" w:sz="0" w:space="0" w:color="auto"/>
          </w:divBdr>
        </w:div>
      </w:divsChild>
    </w:div>
    <w:div w:id="214061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4/10/10/2024-23226/defense-federal-acquisition-regulation-supplement-pilot-program-to-incentivize-contracting-with?utm_campaign=subscription+mailing+list&amp;utm_medium=email&amp;utm_source=federalregister.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cq.osd.mil/dpap/policy/policyvault/USA002576-24-DPCAP.pdf" TargetMode="External"/><Relationship Id="rId4" Type="http://schemas.openxmlformats.org/officeDocument/2006/relationships/settings" Target="settings.xml"/><Relationship Id="rId9" Type="http://schemas.openxmlformats.org/officeDocument/2006/relationships/hyperlink" Target="mailto:osd.pentagon.ousd-a-smbx.dpc-cp@mail.mi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ke.williams@mtsi-v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C011F-8EEE-4E60-AD82-3042462F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Williams</dc:creator>
  <cp:keywords/>
  <dc:description/>
  <cp:lastModifiedBy>Mike Williams</cp:lastModifiedBy>
  <cp:revision>2</cp:revision>
  <cp:lastPrinted>2024-07-09T16:27:00Z</cp:lastPrinted>
  <dcterms:created xsi:type="dcterms:W3CDTF">2025-05-05T15:25:00Z</dcterms:created>
  <dcterms:modified xsi:type="dcterms:W3CDTF">2025-05-05T15:25:00Z</dcterms:modified>
</cp:coreProperties>
</file>